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B1" w:rsidRDefault="002B0DB1" w:rsidP="002B0DB1">
      <w:pPr>
        <w:tabs>
          <w:tab w:val="left" w:pos="851"/>
        </w:tabs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 xml:space="preserve">GUÍA PARA GENERAR </w:t>
      </w:r>
    </w:p>
    <w:p w:rsidR="00741694" w:rsidRDefault="002B0DB1" w:rsidP="002B0DB1">
      <w:pPr>
        <w:tabs>
          <w:tab w:val="left" w:pos="851"/>
        </w:tabs>
        <w:spacing w:after="0"/>
        <w:jc w:val="center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 xml:space="preserve">ANÁLISIS COMPARATIVO Y </w:t>
      </w:r>
      <w:r w:rsidR="00853182" w:rsidRPr="00165378">
        <w:rPr>
          <w:rFonts w:ascii="Public Sans" w:hAnsi="Public Sans"/>
          <w:b/>
          <w:sz w:val="20"/>
          <w:szCs w:val="20"/>
        </w:rPr>
        <w:t>REPORTE DE DESEMPEÑO INSTITUCIONAL</w:t>
      </w:r>
    </w:p>
    <w:p w:rsidR="002B0DB1" w:rsidRPr="00165378" w:rsidRDefault="002B0DB1" w:rsidP="002B0DB1">
      <w:pPr>
        <w:tabs>
          <w:tab w:val="left" w:pos="851"/>
        </w:tabs>
        <w:spacing w:after="0"/>
        <w:jc w:val="center"/>
        <w:rPr>
          <w:rFonts w:ascii="Public Sans" w:hAnsi="Public Sans"/>
          <w:b/>
          <w:sz w:val="20"/>
          <w:szCs w:val="20"/>
        </w:rPr>
      </w:pPr>
    </w:p>
    <w:p w:rsidR="002B0DB1" w:rsidRDefault="002B0DB1" w:rsidP="002B0DB1">
      <w:pPr>
        <w:jc w:val="both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Con el fin de que los miembros del Comité puedan</w:t>
      </w:r>
      <w:r w:rsidRPr="002B0DB1">
        <w:rPr>
          <w:rFonts w:ascii="Public Sans" w:hAnsi="Public Sans"/>
          <w:sz w:val="20"/>
          <w:szCs w:val="20"/>
        </w:rPr>
        <w:t xml:space="preserve"> </w:t>
      </w:r>
      <w:r w:rsidRPr="002B0DB1">
        <w:rPr>
          <w:rFonts w:ascii="Public Sans" w:hAnsi="Public Sans"/>
          <w:sz w:val="20"/>
          <w:szCs w:val="20"/>
        </w:rPr>
        <w:t>monitorear y cuantificar de manera integral el desempeño de la institución, en relación al estado</w:t>
      </w:r>
      <w:r w:rsidR="00975BEB">
        <w:rPr>
          <w:rFonts w:ascii="Public Sans" w:hAnsi="Public Sans"/>
          <w:sz w:val="20"/>
          <w:szCs w:val="20"/>
        </w:rPr>
        <w:t xml:space="preserve"> que guardan</w:t>
      </w:r>
      <w:r w:rsidRPr="002B0DB1">
        <w:rPr>
          <w:rFonts w:ascii="Public Sans" w:hAnsi="Public Sans"/>
          <w:sz w:val="20"/>
          <w:szCs w:val="20"/>
        </w:rPr>
        <w:t xml:space="preserve"> los aspectos estratégicos más relevantes</w:t>
      </w:r>
      <w:r w:rsidR="00975BEB">
        <w:rPr>
          <w:rFonts w:ascii="Public Sans" w:hAnsi="Public Sans"/>
          <w:sz w:val="20"/>
          <w:szCs w:val="20"/>
        </w:rPr>
        <w:t xml:space="preserve">, </w:t>
      </w:r>
      <w:r w:rsidR="00C8017F">
        <w:rPr>
          <w:rFonts w:ascii="Public Sans" w:hAnsi="Public Sans"/>
          <w:sz w:val="20"/>
          <w:szCs w:val="20"/>
        </w:rPr>
        <w:t xml:space="preserve">se </w:t>
      </w:r>
      <w:r w:rsidR="00975BEB">
        <w:rPr>
          <w:rFonts w:ascii="Public Sans" w:hAnsi="Public Sans"/>
          <w:sz w:val="20"/>
          <w:szCs w:val="20"/>
        </w:rPr>
        <w:t xml:space="preserve">deberá realizar un análisis comparativo que facilite su evaluación </w:t>
      </w:r>
      <w:r>
        <w:rPr>
          <w:rFonts w:ascii="Public Sans" w:hAnsi="Public Sans"/>
          <w:sz w:val="20"/>
          <w:szCs w:val="20"/>
        </w:rPr>
        <w:t>para tomar mejores decisiones.</w:t>
      </w:r>
    </w:p>
    <w:p w:rsidR="002B0DB1" w:rsidRDefault="00975BEB" w:rsidP="002B0DB1">
      <w:pPr>
        <w:jc w:val="both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Así mismo</w:t>
      </w:r>
      <w:r w:rsidR="00C8017F">
        <w:rPr>
          <w:rFonts w:ascii="Public Sans" w:hAnsi="Public Sans"/>
          <w:sz w:val="20"/>
          <w:szCs w:val="20"/>
        </w:rPr>
        <w:t>,</w:t>
      </w:r>
      <w:r>
        <w:rPr>
          <w:rFonts w:ascii="Public Sans" w:hAnsi="Public Sans"/>
          <w:sz w:val="20"/>
          <w:szCs w:val="20"/>
        </w:rPr>
        <w:t xml:space="preserve"> </w:t>
      </w:r>
      <w:r w:rsidR="00C8017F">
        <w:rPr>
          <w:rFonts w:ascii="Public Sans" w:hAnsi="Public Sans"/>
          <w:sz w:val="20"/>
          <w:szCs w:val="20"/>
        </w:rPr>
        <w:t xml:space="preserve">para </w:t>
      </w:r>
      <w:r>
        <w:rPr>
          <w:rFonts w:ascii="Public Sans" w:hAnsi="Public Sans"/>
          <w:sz w:val="20"/>
          <w:szCs w:val="20"/>
        </w:rPr>
        <w:t xml:space="preserve">evidenciar el impacto en el </w:t>
      </w:r>
      <w:r>
        <w:rPr>
          <w:rFonts w:ascii="Public Sans" w:hAnsi="Public Sans"/>
          <w:sz w:val="20"/>
          <w:szCs w:val="20"/>
        </w:rPr>
        <w:t>logro de las metas y objetivos</w:t>
      </w:r>
      <w:r w:rsidR="00C8017F">
        <w:rPr>
          <w:rFonts w:ascii="Public Sans" w:hAnsi="Public Sans"/>
          <w:sz w:val="20"/>
          <w:szCs w:val="20"/>
        </w:rPr>
        <w:t>,</w:t>
      </w:r>
      <w:r>
        <w:rPr>
          <w:rFonts w:ascii="Public Sans" w:hAnsi="Public Sans"/>
          <w:sz w:val="20"/>
          <w:szCs w:val="20"/>
        </w:rPr>
        <w:t xml:space="preserve"> </w:t>
      </w:r>
      <w:r w:rsidRPr="00975BEB">
        <w:rPr>
          <w:rFonts w:ascii="Public Sans" w:hAnsi="Public Sans"/>
          <w:sz w:val="20"/>
          <w:szCs w:val="20"/>
        </w:rPr>
        <w:t>derivado de la aplicación del Sistema de Control Interno Institucional</w:t>
      </w:r>
      <w:r w:rsidR="00C8017F">
        <w:rPr>
          <w:rFonts w:ascii="Public Sans" w:hAnsi="Public Sans"/>
          <w:sz w:val="20"/>
          <w:szCs w:val="20"/>
        </w:rPr>
        <w:t>, incluyendo la administración de los riesgos.</w:t>
      </w:r>
    </w:p>
    <w:p w:rsidR="00C8017F" w:rsidRDefault="00C8017F" w:rsidP="002B0DB1">
      <w:pPr>
        <w:jc w:val="both"/>
        <w:rPr>
          <w:rFonts w:ascii="Public Sans" w:hAnsi="Public Sans"/>
          <w:sz w:val="20"/>
          <w:szCs w:val="20"/>
        </w:rPr>
      </w:pPr>
      <w:r w:rsidRPr="00C8017F">
        <w:rPr>
          <w:rFonts w:ascii="Public Sans" w:hAnsi="Public Sans"/>
          <w:sz w:val="20"/>
          <w:szCs w:val="20"/>
        </w:rPr>
        <w:t>Por cada rubro se deberá re</w:t>
      </w:r>
      <w:r w:rsidR="00371090">
        <w:rPr>
          <w:rFonts w:ascii="Public Sans" w:hAnsi="Public Sans"/>
          <w:sz w:val="20"/>
          <w:szCs w:val="20"/>
        </w:rPr>
        <w:t xml:space="preserve">alizar un análisis </w:t>
      </w:r>
      <w:r w:rsidRPr="00C8017F">
        <w:rPr>
          <w:rFonts w:ascii="Public Sans" w:hAnsi="Public Sans"/>
          <w:sz w:val="20"/>
          <w:szCs w:val="20"/>
        </w:rPr>
        <w:t>de com</w:t>
      </w:r>
      <w:r w:rsidR="00371090">
        <w:rPr>
          <w:rFonts w:ascii="Public Sans" w:hAnsi="Public Sans"/>
          <w:sz w:val="20"/>
          <w:szCs w:val="20"/>
        </w:rPr>
        <w:t>paración, de correlación u otro,</w:t>
      </w:r>
      <w:r w:rsidRPr="00C8017F">
        <w:rPr>
          <w:rFonts w:ascii="Public Sans" w:hAnsi="Public Sans"/>
          <w:sz w:val="20"/>
          <w:szCs w:val="20"/>
        </w:rPr>
        <w:t xml:space="preserve"> considerando aspectos cuantitativos y/o cualitativos, según sea el caso</w:t>
      </w:r>
      <w:r w:rsidR="00E65BC6">
        <w:rPr>
          <w:rFonts w:ascii="Public Sans" w:hAnsi="Public Sans"/>
          <w:sz w:val="20"/>
          <w:szCs w:val="20"/>
        </w:rPr>
        <w:t>;</w:t>
      </w:r>
      <w:r w:rsidR="00371090">
        <w:rPr>
          <w:rFonts w:ascii="Public Sans" w:hAnsi="Public Sans"/>
          <w:sz w:val="20"/>
          <w:szCs w:val="20"/>
        </w:rPr>
        <w:t xml:space="preserve"> </w:t>
      </w:r>
      <w:r>
        <w:rPr>
          <w:rFonts w:ascii="Public Sans" w:hAnsi="Public Sans"/>
          <w:sz w:val="20"/>
          <w:szCs w:val="20"/>
        </w:rPr>
        <w:t xml:space="preserve">se recomienda considerar </w:t>
      </w:r>
      <w:r w:rsidR="00371090">
        <w:rPr>
          <w:rFonts w:ascii="Public Sans" w:hAnsi="Public Sans"/>
          <w:sz w:val="20"/>
          <w:szCs w:val="20"/>
        </w:rPr>
        <w:t xml:space="preserve">al menos </w:t>
      </w:r>
      <w:r>
        <w:rPr>
          <w:rFonts w:ascii="Public Sans" w:hAnsi="Public Sans"/>
          <w:sz w:val="20"/>
          <w:szCs w:val="20"/>
        </w:rPr>
        <w:t xml:space="preserve">los siguientes aspectos: </w:t>
      </w:r>
      <w:bookmarkStart w:id="0" w:name="_GoBack"/>
      <w:bookmarkEnd w:id="0"/>
    </w:p>
    <w:p w:rsidR="00A03F1A" w:rsidRPr="00165378" w:rsidRDefault="00737AE9" w:rsidP="00A413BA">
      <w:pPr>
        <w:pStyle w:val="INCISO"/>
        <w:numPr>
          <w:ilvl w:val="0"/>
          <w:numId w:val="2"/>
        </w:numPr>
        <w:spacing w:after="0" w:line="276" w:lineRule="auto"/>
        <w:ind w:left="284" w:hanging="284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b/>
          <w:sz w:val="20"/>
          <w:szCs w:val="20"/>
        </w:rPr>
        <w:t>PROGRAMAS PRESUPUESTARIOS</w:t>
      </w:r>
      <w:r w:rsidRPr="00165378">
        <w:rPr>
          <w:rFonts w:ascii="Public Sans" w:hAnsi="Public Sans"/>
          <w:sz w:val="20"/>
          <w:szCs w:val="20"/>
        </w:rPr>
        <w:t>.-  Se deberán identificar e informar los programas presupuestarios que representen el 80% del presupuesto original de la dependencia o entidad y muestren variaciones porcentuales relevantes al comparar: (1) el presupuesto ejercido contra el modificado y (2) el cumplimiento de las metas alcanzadas contra las programadas, señalando posibles causas, riesgos y/o acciones específicas planteadas para su regularización.</w:t>
      </w:r>
    </w:p>
    <w:p w:rsidR="00C8017F" w:rsidRDefault="00C8017F" w:rsidP="00C8017F">
      <w:pPr>
        <w:jc w:val="both"/>
        <w:rPr>
          <w:rFonts w:ascii="Public Sans" w:hAnsi="Public Sans"/>
          <w:sz w:val="20"/>
          <w:szCs w:val="20"/>
          <w:highlight w:val="yellow"/>
        </w:rPr>
      </w:pPr>
    </w:p>
    <w:p w:rsidR="00D46B4B" w:rsidRPr="00C8017F" w:rsidRDefault="00C8017F" w:rsidP="00C8017F">
      <w:pPr>
        <w:jc w:val="both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  <w:highlight w:val="yellow"/>
        </w:rPr>
        <w:t>Para el citado análisis, s</w:t>
      </w:r>
      <w:r w:rsidRPr="00C8017F">
        <w:rPr>
          <w:rFonts w:ascii="Public Sans" w:hAnsi="Public Sans"/>
          <w:sz w:val="20"/>
          <w:szCs w:val="20"/>
          <w:highlight w:val="yellow"/>
        </w:rPr>
        <w:t>e sugiere</w:t>
      </w:r>
      <w:r>
        <w:rPr>
          <w:rFonts w:ascii="Public Sans" w:hAnsi="Public Sans"/>
          <w:sz w:val="20"/>
          <w:szCs w:val="20"/>
          <w:highlight w:val="yellow"/>
        </w:rPr>
        <w:t xml:space="preserve"> examinar elementos como</w:t>
      </w:r>
      <w:r>
        <w:rPr>
          <w:rFonts w:ascii="Public Sans" w:hAnsi="Public Sans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786"/>
        <w:gridCol w:w="1786"/>
        <w:gridCol w:w="1786"/>
        <w:gridCol w:w="1556"/>
      </w:tblGrid>
      <w:tr w:rsidR="00165378" w:rsidRPr="000009C1" w:rsidTr="00165378">
        <w:trPr>
          <w:trHeight w:val="913"/>
        </w:trPr>
        <w:tc>
          <w:tcPr>
            <w:tcW w:w="1914" w:type="dxa"/>
            <w:shd w:val="clear" w:color="auto" w:fill="D9D9D9" w:themeFill="background1" w:themeFillShade="D9"/>
          </w:tcPr>
          <w:p w:rsidR="00165378" w:rsidRPr="00165378" w:rsidRDefault="00165378" w:rsidP="004F5547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</w:p>
          <w:p w:rsidR="00165378" w:rsidRPr="00165378" w:rsidRDefault="00165378" w:rsidP="004F5547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CONCEPTO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165378" w:rsidRPr="00165378" w:rsidRDefault="00165378" w:rsidP="004F5547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1a Sesión</w:t>
            </w:r>
          </w:p>
          <w:p w:rsidR="00165378" w:rsidRPr="00165378" w:rsidRDefault="00165378" w:rsidP="004F5547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 xml:space="preserve">Período que se reporta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165378" w:rsidRPr="00165378" w:rsidRDefault="00165378" w:rsidP="004F5547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2a Sesión</w:t>
            </w:r>
          </w:p>
          <w:p w:rsidR="00165378" w:rsidRPr="00165378" w:rsidRDefault="00165378" w:rsidP="004F5547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165378" w:rsidRPr="00165378" w:rsidRDefault="00165378" w:rsidP="004F5547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3a Sesión</w:t>
            </w:r>
          </w:p>
          <w:p w:rsidR="00165378" w:rsidRPr="00165378" w:rsidRDefault="00165378" w:rsidP="004F5547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165378" w:rsidRPr="00165378" w:rsidRDefault="003D0EC9" w:rsidP="004F5547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Análisis comparativo</w:t>
            </w:r>
          </w:p>
        </w:tc>
      </w:tr>
      <w:tr w:rsidR="00165378" w:rsidRPr="000009C1" w:rsidTr="00165378">
        <w:trPr>
          <w:trHeight w:val="862"/>
        </w:trPr>
        <w:tc>
          <w:tcPr>
            <w:tcW w:w="1914" w:type="dxa"/>
            <w:shd w:val="clear" w:color="auto" w:fill="F2F2F2" w:themeFill="background1" w:themeFillShade="F2"/>
          </w:tcPr>
          <w:p w:rsidR="00165378" w:rsidRPr="000009C1" w:rsidRDefault="00165378" w:rsidP="00FF6A83">
            <w:pPr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  <w:p w:rsidR="00165378" w:rsidRPr="00165378" w:rsidRDefault="00165378" w:rsidP="00FF6A83">
            <w:pPr>
              <w:rPr>
                <w:rFonts w:ascii="Public Sans" w:hAnsi="Public Sans"/>
                <w:b/>
                <w:sz w:val="20"/>
                <w:szCs w:val="20"/>
              </w:rPr>
            </w:pPr>
            <w:r w:rsidRPr="00165378">
              <w:rPr>
                <w:rFonts w:ascii="Public Sans" w:hAnsi="Public Sans"/>
                <w:b/>
                <w:sz w:val="20"/>
                <w:szCs w:val="20"/>
              </w:rPr>
              <w:t>Nombre del programa 1</w:t>
            </w:r>
          </w:p>
          <w:p w:rsidR="00165378" w:rsidRPr="000009C1" w:rsidRDefault="00165378" w:rsidP="00FF6A83">
            <w:pPr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444999">
            <w:pPr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165378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 lo ejercido contra modificado.</w:t>
            </w: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165378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del cumplimiento de las metas alcanzadas contra las programadas.</w:t>
            </w: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165378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Posibles causas, riesgos y/o acciones específicas planteadas para su regularización.</w:t>
            </w: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4F5547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744FC4">
        <w:trPr>
          <w:trHeight w:val="871"/>
        </w:trPr>
        <w:tc>
          <w:tcPr>
            <w:tcW w:w="1914" w:type="dxa"/>
            <w:shd w:val="clear" w:color="auto" w:fill="F2F2F2" w:themeFill="background1" w:themeFillShade="F2"/>
          </w:tcPr>
          <w:p w:rsidR="00165378" w:rsidRPr="00165378" w:rsidRDefault="00165378" w:rsidP="000D315F">
            <w:pPr>
              <w:rPr>
                <w:rFonts w:ascii="Public Sans" w:hAnsi="Public Sans"/>
                <w:b/>
                <w:sz w:val="20"/>
                <w:szCs w:val="20"/>
              </w:rPr>
            </w:pPr>
          </w:p>
          <w:p w:rsidR="00165378" w:rsidRPr="00165378" w:rsidRDefault="00165378" w:rsidP="000D315F">
            <w:pPr>
              <w:rPr>
                <w:rFonts w:ascii="Public Sans" w:hAnsi="Public Sans"/>
                <w:b/>
                <w:sz w:val="20"/>
                <w:szCs w:val="20"/>
              </w:rPr>
            </w:pPr>
            <w:r w:rsidRPr="00165378">
              <w:rPr>
                <w:rFonts w:ascii="Public Sans" w:hAnsi="Public Sans"/>
                <w:b/>
                <w:sz w:val="20"/>
                <w:szCs w:val="20"/>
              </w:rPr>
              <w:t xml:space="preserve">Nombre del </w:t>
            </w:r>
            <w:r w:rsidR="00C8017F">
              <w:rPr>
                <w:rFonts w:ascii="Public Sans" w:hAnsi="Public Sans"/>
                <w:b/>
                <w:sz w:val="20"/>
                <w:szCs w:val="20"/>
              </w:rPr>
              <w:t>programa 2,3…</w:t>
            </w:r>
          </w:p>
          <w:p w:rsidR="00165378" w:rsidRPr="000009C1" w:rsidRDefault="00165378" w:rsidP="000D315F">
            <w:pPr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0D315F">
            <w:pPr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BE7034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 lo ejercido contra modificado</w:t>
            </w: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BE7034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del cumplimiento de las metas alcanzadas contra las programadas.</w:t>
            </w: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165378" w:rsidRPr="000009C1" w:rsidTr="00165378">
        <w:tc>
          <w:tcPr>
            <w:tcW w:w="1914" w:type="dxa"/>
          </w:tcPr>
          <w:p w:rsidR="00165378" w:rsidRPr="00165378" w:rsidRDefault="00165378" w:rsidP="00BE7034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 xml:space="preserve">Posibles causas, riesgos y/o acciones </w:t>
            </w:r>
            <w:r w:rsidRPr="00165378">
              <w:rPr>
                <w:rFonts w:ascii="Public Sans" w:hAnsi="Public Sans"/>
                <w:sz w:val="16"/>
                <w:szCs w:val="16"/>
              </w:rPr>
              <w:lastRenderedPageBreak/>
              <w:t>específicas planteadas para su regularización.</w:t>
            </w: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165378" w:rsidRPr="000009C1" w:rsidRDefault="00165378" w:rsidP="000D315F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</w:tbl>
    <w:p w:rsidR="00165378" w:rsidRDefault="00165378" w:rsidP="00165378">
      <w:pPr>
        <w:pStyle w:val="INCISO"/>
        <w:spacing w:after="0" w:line="276" w:lineRule="auto"/>
        <w:ind w:left="0" w:firstLine="0"/>
        <w:rPr>
          <w:rFonts w:ascii="Avenir Next Ultra Light" w:hAnsi="Avenir Next Ultra Light"/>
          <w:b/>
          <w:sz w:val="20"/>
          <w:szCs w:val="20"/>
        </w:rPr>
      </w:pPr>
    </w:p>
    <w:p w:rsidR="00607268" w:rsidRPr="00165378" w:rsidRDefault="00607268" w:rsidP="00165378">
      <w:pPr>
        <w:pStyle w:val="INCISO"/>
        <w:spacing w:after="0" w:line="276" w:lineRule="auto"/>
        <w:ind w:left="0" w:firstLine="0"/>
        <w:rPr>
          <w:rFonts w:ascii="Public Sans" w:hAnsi="Public Sans"/>
          <w:sz w:val="20"/>
          <w:szCs w:val="20"/>
        </w:rPr>
      </w:pPr>
    </w:p>
    <w:p w:rsidR="00A03F1A" w:rsidRDefault="00A03F1A" w:rsidP="00A413BA">
      <w:pPr>
        <w:pStyle w:val="INCISO"/>
        <w:numPr>
          <w:ilvl w:val="0"/>
          <w:numId w:val="2"/>
        </w:numPr>
        <w:spacing w:after="0" w:line="276" w:lineRule="auto"/>
        <w:ind w:left="284" w:hanging="284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b/>
          <w:sz w:val="20"/>
          <w:szCs w:val="20"/>
        </w:rPr>
        <w:t>PROYECTOS DE INVERSIÓN PÚBLICA</w:t>
      </w:r>
      <w:r w:rsidRPr="00165378">
        <w:rPr>
          <w:rFonts w:ascii="Public Sans" w:hAnsi="Public Sans"/>
          <w:sz w:val="20"/>
          <w:szCs w:val="20"/>
        </w:rPr>
        <w:t>.- El tema aplicará sólo a las dependencias o entidades que cuenten con presupuesto autorizado en este concepto y deberán identificar e informar los proyectos de inversión pública que presenten variaciones porcentuales importantes, al comparar el avance acumulado: (1) del presupuesto ejercido contra el programado, (2) del físico alcanzado contra el programado, y (3) del físico contra el financiero, señalando las causas, riesgos y acciones específicas planteadas para su regularización.</w:t>
      </w:r>
    </w:p>
    <w:p w:rsidR="00744FC4" w:rsidRPr="00165378" w:rsidRDefault="00744FC4" w:rsidP="00744FC4">
      <w:pPr>
        <w:pStyle w:val="INCISO"/>
        <w:spacing w:after="0" w:line="276" w:lineRule="auto"/>
        <w:ind w:left="284" w:firstLine="0"/>
        <w:rPr>
          <w:rFonts w:ascii="Public Sans" w:hAnsi="Public Sans"/>
          <w:sz w:val="20"/>
          <w:szCs w:val="20"/>
        </w:rPr>
      </w:pPr>
    </w:p>
    <w:p w:rsidR="00D46B4B" w:rsidRPr="00C8017F" w:rsidRDefault="00C8017F" w:rsidP="00C8017F">
      <w:pPr>
        <w:jc w:val="both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  <w:highlight w:val="yellow"/>
        </w:rPr>
        <w:t>Para el citado análisis, s</w:t>
      </w:r>
      <w:r w:rsidRPr="00C8017F">
        <w:rPr>
          <w:rFonts w:ascii="Public Sans" w:hAnsi="Public Sans"/>
          <w:sz w:val="20"/>
          <w:szCs w:val="20"/>
          <w:highlight w:val="yellow"/>
        </w:rPr>
        <w:t>e sugiere</w:t>
      </w:r>
      <w:r>
        <w:rPr>
          <w:rFonts w:ascii="Public Sans" w:hAnsi="Public Sans"/>
          <w:sz w:val="20"/>
          <w:szCs w:val="20"/>
          <w:highlight w:val="yellow"/>
        </w:rPr>
        <w:t xml:space="preserve"> examinar elementos como</w:t>
      </w:r>
      <w:r>
        <w:rPr>
          <w:rFonts w:ascii="Public Sans" w:hAnsi="Public Sans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786"/>
        <w:gridCol w:w="1786"/>
        <w:gridCol w:w="1786"/>
        <w:gridCol w:w="1556"/>
      </w:tblGrid>
      <w:tr w:rsidR="003D0EC9" w:rsidRPr="000009C1" w:rsidTr="00165378">
        <w:trPr>
          <w:trHeight w:val="686"/>
        </w:trPr>
        <w:tc>
          <w:tcPr>
            <w:tcW w:w="1914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</w:p>
          <w:p w:rsidR="003D0EC9" w:rsidRPr="00165378" w:rsidRDefault="003D0EC9" w:rsidP="003D0EC9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CONCEPTO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1a Sesión</w:t>
            </w:r>
          </w:p>
          <w:p w:rsidR="003D0EC9" w:rsidRPr="00165378" w:rsidRDefault="003D0EC9" w:rsidP="003D0EC9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 xml:space="preserve">Período que se reporta 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2a Sesión</w:t>
            </w:r>
          </w:p>
          <w:p w:rsidR="003D0EC9" w:rsidRPr="00165378" w:rsidRDefault="003D0EC9" w:rsidP="003D0EC9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spacing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3a Sesión</w:t>
            </w:r>
          </w:p>
          <w:p w:rsidR="003D0EC9" w:rsidRPr="00165378" w:rsidRDefault="003D0EC9" w:rsidP="003D0EC9">
            <w:pPr>
              <w:spacing w:after="160" w:line="259" w:lineRule="auto"/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Análisis comparativo</w:t>
            </w:r>
          </w:p>
        </w:tc>
      </w:tr>
      <w:tr w:rsidR="003D0EC9" w:rsidRPr="000009C1" w:rsidTr="00165378">
        <w:tc>
          <w:tcPr>
            <w:tcW w:w="1914" w:type="dxa"/>
          </w:tcPr>
          <w:p w:rsidR="003D0EC9" w:rsidRPr="00165378" w:rsidRDefault="003D0EC9" w:rsidP="003D0EC9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 lo ejercido contra modificado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3D0EC9" w:rsidRPr="000009C1" w:rsidTr="00165378">
        <w:tc>
          <w:tcPr>
            <w:tcW w:w="1914" w:type="dxa"/>
          </w:tcPr>
          <w:p w:rsidR="003D0EC9" w:rsidRPr="00165378" w:rsidRDefault="003D0EC9" w:rsidP="003D0EC9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 lo físico contra programado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3D0EC9" w:rsidRPr="000009C1" w:rsidTr="00165378">
        <w:tc>
          <w:tcPr>
            <w:tcW w:w="1914" w:type="dxa"/>
          </w:tcPr>
          <w:p w:rsidR="003D0EC9" w:rsidRPr="00165378" w:rsidRDefault="003D0EC9" w:rsidP="003D0EC9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Variación % relevante de lo físico contra financiero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  <w:tr w:rsidR="003D0EC9" w:rsidRPr="000009C1" w:rsidTr="00165378">
        <w:tc>
          <w:tcPr>
            <w:tcW w:w="1914" w:type="dxa"/>
          </w:tcPr>
          <w:p w:rsidR="003D0EC9" w:rsidRPr="00165378" w:rsidRDefault="003D0EC9" w:rsidP="003D0EC9">
            <w:pPr>
              <w:jc w:val="both"/>
              <w:rPr>
                <w:rFonts w:ascii="Public Sans" w:hAnsi="Public Sans"/>
                <w:sz w:val="16"/>
                <w:szCs w:val="16"/>
              </w:rPr>
            </w:pPr>
            <w:r w:rsidRPr="00165378">
              <w:rPr>
                <w:rFonts w:ascii="Public Sans" w:hAnsi="Public Sans"/>
                <w:sz w:val="16"/>
                <w:szCs w:val="16"/>
              </w:rPr>
              <w:t>Posibles causas, riesgos y/o acciones específicas planteadas para su regularización.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jc w:val="center"/>
              <w:rPr>
                <w:rFonts w:ascii="Avenir Next Ultra Light" w:hAnsi="Avenir Next Ultra Light"/>
                <w:sz w:val="20"/>
                <w:szCs w:val="20"/>
              </w:rPr>
            </w:pPr>
          </w:p>
        </w:tc>
      </w:tr>
    </w:tbl>
    <w:p w:rsidR="00A03F1A" w:rsidRPr="000009C1" w:rsidRDefault="00A03F1A" w:rsidP="00A03F1A">
      <w:pPr>
        <w:pStyle w:val="INCISO"/>
        <w:spacing w:after="0" w:line="276" w:lineRule="auto"/>
        <w:ind w:left="851" w:firstLine="0"/>
        <w:rPr>
          <w:rFonts w:ascii="Avenir Next Ultra Light" w:hAnsi="Avenir Next Ultra Light"/>
          <w:sz w:val="20"/>
          <w:szCs w:val="20"/>
        </w:rPr>
      </w:pPr>
    </w:p>
    <w:p w:rsidR="00A03F1A" w:rsidRPr="00165378" w:rsidRDefault="00A03F1A" w:rsidP="00A03F1A">
      <w:pPr>
        <w:pStyle w:val="INCISO"/>
        <w:spacing w:after="0" w:line="276" w:lineRule="auto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sz w:val="20"/>
          <w:szCs w:val="20"/>
        </w:rPr>
        <w:t xml:space="preserve"> </w:t>
      </w:r>
    </w:p>
    <w:p w:rsidR="00A03F1A" w:rsidRDefault="00A03F1A" w:rsidP="00A413BA">
      <w:pPr>
        <w:pStyle w:val="INCISO"/>
        <w:numPr>
          <w:ilvl w:val="0"/>
          <w:numId w:val="2"/>
        </w:numPr>
        <w:spacing w:after="0" w:line="276" w:lineRule="auto"/>
        <w:ind w:left="284" w:hanging="284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b/>
          <w:sz w:val="20"/>
          <w:szCs w:val="20"/>
        </w:rPr>
        <w:t>PASIVOS CONTINGENTES</w:t>
      </w:r>
      <w:r w:rsidRPr="00165378">
        <w:rPr>
          <w:rFonts w:ascii="Public Sans" w:hAnsi="Public Sans"/>
          <w:sz w:val="20"/>
          <w:szCs w:val="20"/>
        </w:rPr>
        <w:t>. Es necesario que, en su caso, se informe al Comité sobre el impacto de éstos en el cumplimiento de metas y objetivos institucionales, considerando que su materialización pudiera representar un riesgo financiero para la dependencia o entidad e incidir de manera importante en su flujo de efectivo y ejercicio presupuestal (incluir los pasivos laborales y los correspondientes a juicios jurídico-contenciosos). En su caso, señalar las estrategias procesales que se realizan para su atención, su avance y en su caso, los abogados externos que están contratados para su trámite correspondiente.</w:t>
      </w:r>
    </w:p>
    <w:p w:rsidR="00C8017F" w:rsidRPr="00165378" w:rsidRDefault="00C8017F" w:rsidP="00C8017F">
      <w:pPr>
        <w:pStyle w:val="INCISO"/>
        <w:spacing w:after="0" w:line="276" w:lineRule="auto"/>
        <w:ind w:left="284" w:firstLine="0"/>
        <w:rPr>
          <w:rFonts w:ascii="Public Sans" w:hAnsi="Public Sans"/>
          <w:sz w:val="20"/>
          <w:szCs w:val="20"/>
        </w:rPr>
      </w:pPr>
    </w:p>
    <w:p w:rsidR="00E10F75" w:rsidRPr="00C8017F" w:rsidRDefault="00C8017F" w:rsidP="00C8017F">
      <w:pPr>
        <w:jc w:val="both"/>
        <w:rPr>
          <w:rFonts w:ascii="Public Sans" w:hAnsi="Public Sans"/>
          <w:sz w:val="20"/>
          <w:szCs w:val="20"/>
        </w:rPr>
      </w:pPr>
      <w:r w:rsidRPr="00C8017F">
        <w:rPr>
          <w:rFonts w:ascii="Public Sans" w:hAnsi="Public Sans"/>
          <w:sz w:val="20"/>
          <w:szCs w:val="20"/>
          <w:highlight w:val="yellow"/>
        </w:rPr>
        <w:t>Para el citado análisis, se sugiere examinar elementos como</w:t>
      </w:r>
      <w:r w:rsidRPr="00C8017F">
        <w:rPr>
          <w:rFonts w:ascii="Public Sans" w:hAnsi="Public Sans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1777"/>
        <w:gridCol w:w="1776"/>
        <w:gridCol w:w="1776"/>
        <w:gridCol w:w="1541"/>
      </w:tblGrid>
      <w:tr w:rsidR="003D0EC9" w:rsidRPr="000009C1" w:rsidTr="00A646A6">
        <w:trPr>
          <w:trHeight w:val="686"/>
        </w:trPr>
        <w:tc>
          <w:tcPr>
            <w:tcW w:w="1958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CONCEPTO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1a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 xml:space="preserve">Período que se reporta 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2a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3a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Análisis comparativo</w:t>
            </w:r>
          </w:p>
        </w:tc>
      </w:tr>
      <w:tr w:rsidR="003D0EC9" w:rsidRPr="000009C1" w:rsidTr="00A646A6">
        <w:tc>
          <w:tcPr>
            <w:tcW w:w="1958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284"/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>Descripción del pasivo</w:t>
            </w:r>
          </w:p>
        </w:tc>
        <w:tc>
          <w:tcPr>
            <w:tcW w:w="1777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58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0" w:firstLine="0"/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>Impacto en el cumplimiento de metas y objetivos institucionales</w:t>
            </w:r>
          </w:p>
        </w:tc>
        <w:tc>
          <w:tcPr>
            <w:tcW w:w="1777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58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0" w:firstLine="0"/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 xml:space="preserve">Estrategias procesales que se realizan para su atención, su avance y en su caso, los abogados externos que están contratados para </w:t>
            </w: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lastRenderedPageBreak/>
              <w:t>su trámite correspondiente.</w:t>
            </w:r>
          </w:p>
        </w:tc>
        <w:tc>
          <w:tcPr>
            <w:tcW w:w="1777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</w:tbl>
    <w:p w:rsidR="00E10F75" w:rsidRPr="000009C1" w:rsidRDefault="00E10F75" w:rsidP="009F442E">
      <w:pPr>
        <w:pStyle w:val="INCISO"/>
        <w:spacing w:after="0" w:line="276" w:lineRule="auto"/>
        <w:ind w:left="0" w:firstLine="0"/>
        <w:rPr>
          <w:rFonts w:ascii="Avenir Next Ultra Light" w:hAnsi="Avenir Next Ultra Light"/>
          <w:b/>
          <w:sz w:val="20"/>
          <w:szCs w:val="20"/>
        </w:rPr>
      </w:pPr>
    </w:p>
    <w:p w:rsidR="00E10F75" w:rsidRPr="00165378" w:rsidRDefault="00E10F75" w:rsidP="00E10F75">
      <w:pPr>
        <w:pStyle w:val="INCISO"/>
        <w:spacing w:after="0" w:line="276" w:lineRule="auto"/>
        <w:ind w:left="284" w:firstLine="0"/>
        <w:rPr>
          <w:rFonts w:ascii="Public Sans" w:hAnsi="Public Sans"/>
          <w:sz w:val="20"/>
          <w:szCs w:val="20"/>
        </w:rPr>
      </w:pPr>
    </w:p>
    <w:p w:rsidR="00AA5992" w:rsidRPr="00165378" w:rsidRDefault="00AA5992" w:rsidP="00A413BA">
      <w:pPr>
        <w:pStyle w:val="INCISO"/>
        <w:numPr>
          <w:ilvl w:val="0"/>
          <w:numId w:val="2"/>
        </w:numPr>
        <w:spacing w:after="0" w:line="276" w:lineRule="auto"/>
        <w:ind w:left="284" w:hanging="284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b/>
          <w:sz w:val="20"/>
          <w:szCs w:val="20"/>
        </w:rPr>
        <w:t>PLAN INSTITUCIONAL DE TIC’S</w:t>
      </w:r>
      <w:r w:rsidRPr="00165378">
        <w:rPr>
          <w:rFonts w:ascii="Public Sans" w:hAnsi="Public Sans"/>
          <w:sz w:val="20"/>
          <w:szCs w:val="20"/>
        </w:rPr>
        <w:t>. Informar de manera ejecutiva los planes de desarrollo, arrendamiento y/o adquisición en materia de tecnologías de información y comunicaciones, así como las dificultades o situaciones que causan problemas para su cumplimiento y las acciones de solución emprendidas. Considerando la integración y objetivos del Comité, se deberá evitar la presentación en este apartado de estadísticas, aspectos y asuntos eminentemente informativos.</w:t>
      </w:r>
    </w:p>
    <w:p w:rsidR="00744FC4" w:rsidRDefault="00744FC4" w:rsidP="00C8017F">
      <w:pPr>
        <w:pStyle w:val="INCISO"/>
        <w:spacing w:after="0" w:line="276" w:lineRule="auto"/>
        <w:ind w:left="0" w:firstLine="0"/>
        <w:rPr>
          <w:rFonts w:ascii="Avenir Next Ultra Light" w:hAnsi="Avenir Next Ultra Light"/>
          <w:b/>
          <w:sz w:val="20"/>
          <w:szCs w:val="20"/>
        </w:rPr>
      </w:pPr>
    </w:p>
    <w:p w:rsidR="00744FC4" w:rsidRPr="00C8017F" w:rsidRDefault="00C8017F" w:rsidP="00C8017F">
      <w:pPr>
        <w:jc w:val="both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  <w:highlight w:val="yellow"/>
        </w:rPr>
        <w:t>Para el citado análisis, s</w:t>
      </w:r>
      <w:r w:rsidRPr="00C8017F">
        <w:rPr>
          <w:rFonts w:ascii="Public Sans" w:hAnsi="Public Sans"/>
          <w:sz w:val="20"/>
          <w:szCs w:val="20"/>
          <w:highlight w:val="yellow"/>
        </w:rPr>
        <w:t>e sugiere</w:t>
      </w:r>
      <w:r>
        <w:rPr>
          <w:rFonts w:ascii="Public Sans" w:hAnsi="Public Sans"/>
          <w:sz w:val="20"/>
          <w:szCs w:val="20"/>
          <w:highlight w:val="yellow"/>
        </w:rPr>
        <w:t xml:space="preserve"> examinar elementos como</w:t>
      </w:r>
      <w:r>
        <w:rPr>
          <w:rFonts w:ascii="Public Sans" w:hAnsi="Public Sans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786"/>
        <w:gridCol w:w="1786"/>
        <w:gridCol w:w="1786"/>
        <w:gridCol w:w="1556"/>
      </w:tblGrid>
      <w:tr w:rsidR="003D0EC9" w:rsidRPr="000009C1" w:rsidTr="00A646A6">
        <w:trPr>
          <w:trHeight w:val="686"/>
        </w:trPr>
        <w:tc>
          <w:tcPr>
            <w:tcW w:w="1914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CONCEPTO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1a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 xml:space="preserve">Período que se reporta 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2a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3a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Análisis comparativo</w:t>
            </w:r>
          </w:p>
        </w:tc>
      </w:tr>
      <w:tr w:rsidR="003D0EC9" w:rsidRPr="000009C1" w:rsidTr="00A646A6">
        <w:tc>
          <w:tcPr>
            <w:tcW w:w="1914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0" w:firstLine="0"/>
              <w:jc w:val="left"/>
              <w:rPr>
                <w:rFonts w:ascii="Public Sans" w:hAnsi="Public Sans"/>
                <w:b/>
                <w:sz w:val="16"/>
                <w:szCs w:val="16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 xml:space="preserve">Menciona plan de desarrollo, arrendamiento y/o adquisición 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14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0" w:firstLine="0"/>
              <w:jc w:val="left"/>
              <w:rPr>
                <w:rFonts w:ascii="Public Sans" w:hAnsi="Public Sans"/>
                <w:b/>
                <w:sz w:val="16"/>
                <w:szCs w:val="16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>dificultades o situaciones que causan problemas para su cumplimiento y las acciones de solución emprendidas</w:t>
            </w: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</w:tbl>
    <w:p w:rsidR="00E10F75" w:rsidRPr="000009C1" w:rsidRDefault="00E10F75" w:rsidP="00E10F75">
      <w:pPr>
        <w:pStyle w:val="INCISO"/>
        <w:spacing w:after="0" w:line="276" w:lineRule="auto"/>
        <w:ind w:left="284" w:firstLine="0"/>
        <w:rPr>
          <w:rFonts w:ascii="Avenir Next Ultra Light" w:hAnsi="Avenir Next Ultra Light"/>
          <w:b/>
          <w:sz w:val="20"/>
          <w:szCs w:val="20"/>
        </w:rPr>
      </w:pPr>
    </w:p>
    <w:p w:rsidR="00E10F75" w:rsidRPr="000009C1" w:rsidRDefault="00E10F75" w:rsidP="00E10F75">
      <w:pPr>
        <w:pStyle w:val="INCISO"/>
        <w:spacing w:after="0" w:line="276" w:lineRule="auto"/>
        <w:ind w:left="284" w:firstLine="0"/>
        <w:rPr>
          <w:rFonts w:ascii="Avenir Next Ultra Light" w:hAnsi="Avenir Next Ultra Light"/>
          <w:sz w:val="20"/>
          <w:szCs w:val="20"/>
        </w:rPr>
      </w:pPr>
    </w:p>
    <w:p w:rsidR="00737AE9" w:rsidRDefault="00AA5992" w:rsidP="00737AE9">
      <w:pPr>
        <w:pStyle w:val="INCISO"/>
        <w:numPr>
          <w:ilvl w:val="0"/>
          <w:numId w:val="2"/>
        </w:numPr>
        <w:spacing w:after="0" w:line="276" w:lineRule="auto"/>
        <w:ind w:left="284" w:hanging="284"/>
        <w:rPr>
          <w:rFonts w:ascii="Public Sans" w:hAnsi="Public Sans"/>
          <w:sz w:val="20"/>
          <w:szCs w:val="20"/>
        </w:rPr>
      </w:pPr>
      <w:r w:rsidRPr="00165378">
        <w:rPr>
          <w:rFonts w:ascii="Public Sans" w:hAnsi="Public Sans"/>
          <w:b/>
          <w:bCs/>
          <w:sz w:val="20"/>
          <w:szCs w:val="20"/>
        </w:rPr>
        <w:t>ACCIONES PRIORITARIAS DE GOBIERNO.</w:t>
      </w:r>
      <w:r w:rsidRPr="00165378">
        <w:rPr>
          <w:rFonts w:ascii="Public Sans" w:hAnsi="Public Sans"/>
          <w:sz w:val="20"/>
          <w:szCs w:val="20"/>
        </w:rPr>
        <w:t xml:space="preserve"> Informar el seguimiento de avances a las acciones relacionadas con prioridades de gobierno establecidas por la o el Titular del Ejecutivo, aplicables a la dependencia o entidad, de índole individual o transversal.</w:t>
      </w:r>
    </w:p>
    <w:p w:rsidR="00C8017F" w:rsidRPr="00165378" w:rsidRDefault="00C8017F" w:rsidP="00C8017F">
      <w:pPr>
        <w:pStyle w:val="INCISO"/>
        <w:spacing w:after="0" w:line="276" w:lineRule="auto"/>
        <w:ind w:left="284" w:firstLine="0"/>
        <w:rPr>
          <w:rFonts w:ascii="Public Sans" w:hAnsi="Public Sans"/>
          <w:sz w:val="20"/>
          <w:szCs w:val="20"/>
        </w:rPr>
      </w:pPr>
    </w:p>
    <w:p w:rsidR="00D46B4B" w:rsidRPr="00C8017F" w:rsidRDefault="00C8017F" w:rsidP="00C8017F">
      <w:pPr>
        <w:jc w:val="both"/>
        <w:rPr>
          <w:rFonts w:ascii="Public Sans" w:hAnsi="Public Sans"/>
          <w:sz w:val="20"/>
          <w:szCs w:val="20"/>
        </w:rPr>
      </w:pPr>
      <w:r w:rsidRPr="00C8017F">
        <w:rPr>
          <w:rFonts w:ascii="Public Sans" w:hAnsi="Public Sans"/>
          <w:sz w:val="20"/>
          <w:szCs w:val="20"/>
          <w:highlight w:val="yellow"/>
        </w:rPr>
        <w:t>Para el citado análisis, se sugiere examinar elementos como</w:t>
      </w:r>
      <w:r w:rsidRPr="00C8017F">
        <w:rPr>
          <w:rFonts w:ascii="Public Sans" w:hAnsi="Public Sans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1783"/>
        <w:gridCol w:w="1783"/>
        <w:gridCol w:w="1783"/>
        <w:gridCol w:w="1551"/>
      </w:tblGrid>
      <w:tr w:rsidR="003D0EC9" w:rsidRPr="000009C1" w:rsidTr="00A646A6">
        <w:trPr>
          <w:trHeight w:val="686"/>
        </w:trPr>
        <w:tc>
          <w:tcPr>
            <w:tcW w:w="1928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CONCEPTO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1a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 xml:space="preserve">Período que se reporta 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2a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3a Sesión</w:t>
            </w:r>
          </w:p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 w:rsidRPr="00165378">
              <w:rPr>
                <w:rFonts w:ascii="Public Sans" w:hAnsi="Public Sans"/>
                <w:sz w:val="20"/>
                <w:szCs w:val="20"/>
              </w:rPr>
              <w:t>Período que se reporta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:rsidR="003D0EC9" w:rsidRPr="00165378" w:rsidRDefault="003D0EC9" w:rsidP="003D0EC9">
            <w:pPr>
              <w:jc w:val="center"/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Análisis comparativo</w:t>
            </w:r>
          </w:p>
        </w:tc>
      </w:tr>
      <w:tr w:rsidR="003D0EC9" w:rsidRPr="000009C1" w:rsidTr="00A646A6">
        <w:tc>
          <w:tcPr>
            <w:tcW w:w="1928" w:type="dxa"/>
            <w:shd w:val="clear" w:color="auto" w:fill="F2F2F2" w:themeFill="background1" w:themeFillShade="F2"/>
          </w:tcPr>
          <w:p w:rsidR="003D0EC9" w:rsidRPr="00165378" w:rsidRDefault="003D0EC9" w:rsidP="003D0EC9">
            <w:pPr>
              <w:pStyle w:val="INCISO"/>
              <w:spacing w:line="276" w:lineRule="auto"/>
              <w:ind w:left="284"/>
              <w:rPr>
                <w:rFonts w:ascii="Public Sans" w:hAnsi="Public Sans"/>
                <w:b/>
              </w:rPr>
            </w:pPr>
            <w:r w:rsidRPr="00165378">
              <w:rPr>
                <w:rFonts w:ascii="Public Sans" w:eastAsiaTheme="minorHAnsi" w:hAnsi="Public Sans" w:cstheme="minorBidi"/>
                <w:b/>
                <w:lang w:eastAsia="en-US"/>
              </w:rPr>
              <w:t>Acción Prioritaria</w:t>
            </w:r>
            <w:r w:rsidRPr="00165378">
              <w:rPr>
                <w:rFonts w:ascii="Public Sans" w:hAnsi="Public Sans"/>
                <w:b/>
              </w:rPr>
              <w:t xml:space="preserve"> </w:t>
            </w:r>
            <w:r w:rsidRPr="00165378">
              <w:rPr>
                <w:rFonts w:ascii="Public Sans" w:eastAsiaTheme="minorHAnsi" w:hAnsi="Public Sans" w:cstheme="minorBidi"/>
                <w:b/>
                <w:lang w:eastAsia="en-US"/>
              </w:rPr>
              <w:t xml:space="preserve">1 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28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284"/>
              <w:rPr>
                <w:rFonts w:ascii="Public Sans" w:hAnsi="Public Sans"/>
                <w:b/>
                <w:sz w:val="16"/>
                <w:szCs w:val="16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>Porcentaje de avance</w:t>
            </w: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28" w:type="dxa"/>
            <w:shd w:val="clear" w:color="auto" w:fill="F2F2F2" w:themeFill="background1" w:themeFillShade="F2"/>
          </w:tcPr>
          <w:p w:rsidR="003D0EC9" w:rsidRPr="00165378" w:rsidRDefault="003D0EC9" w:rsidP="003D0EC9">
            <w:pPr>
              <w:pStyle w:val="INCISO"/>
              <w:spacing w:line="276" w:lineRule="auto"/>
              <w:ind w:left="284"/>
              <w:jc w:val="left"/>
              <w:rPr>
                <w:rFonts w:ascii="Public Sans" w:hAnsi="Public Sans"/>
                <w:b/>
              </w:rPr>
            </w:pPr>
            <w:r w:rsidRPr="00165378">
              <w:rPr>
                <w:rFonts w:ascii="Public Sans" w:eastAsiaTheme="minorHAnsi" w:hAnsi="Public Sans" w:cstheme="minorBidi"/>
                <w:b/>
                <w:lang w:eastAsia="en-US"/>
              </w:rPr>
              <w:t>Acción Prioritaria</w:t>
            </w:r>
            <w:r w:rsidRPr="00165378">
              <w:rPr>
                <w:rFonts w:ascii="Public Sans" w:hAnsi="Public Sans"/>
                <w:b/>
              </w:rPr>
              <w:t xml:space="preserve"> </w:t>
            </w:r>
            <w:r>
              <w:rPr>
                <w:rFonts w:ascii="Public Sans" w:eastAsiaTheme="minorHAnsi" w:hAnsi="Public Sans" w:cstheme="minorBidi"/>
                <w:b/>
                <w:lang w:eastAsia="en-US"/>
              </w:rPr>
              <w:t>2,3</w:t>
            </w:r>
            <w:r w:rsidR="00C8017F">
              <w:rPr>
                <w:rFonts w:ascii="Public Sans" w:eastAsiaTheme="minorHAnsi" w:hAnsi="Public Sans" w:cstheme="minorBidi"/>
                <w:b/>
                <w:lang w:eastAsia="en-US"/>
              </w:rPr>
              <w:t>…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  <w:tr w:rsidR="003D0EC9" w:rsidRPr="000009C1" w:rsidTr="00A646A6">
        <w:tc>
          <w:tcPr>
            <w:tcW w:w="1928" w:type="dxa"/>
          </w:tcPr>
          <w:p w:rsidR="003D0EC9" w:rsidRPr="00165378" w:rsidRDefault="003D0EC9" w:rsidP="003D0EC9">
            <w:pPr>
              <w:pStyle w:val="INCISO"/>
              <w:spacing w:line="276" w:lineRule="auto"/>
              <w:ind w:left="284"/>
              <w:rPr>
                <w:rFonts w:ascii="Public Sans" w:hAnsi="Public Sans"/>
                <w:b/>
                <w:sz w:val="16"/>
                <w:szCs w:val="16"/>
              </w:rPr>
            </w:pPr>
            <w:r w:rsidRPr="00165378">
              <w:rPr>
                <w:rFonts w:ascii="Public Sans" w:eastAsiaTheme="minorHAnsi" w:hAnsi="Public Sans" w:cstheme="minorBidi"/>
                <w:sz w:val="16"/>
                <w:szCs w:val="16"/>
                <w:lang w:eastAsia="en-US"/>
              </w:rPr>
              <w:t>Porcentaje de avance</w:t>
            </w: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3D0EC9" w:rsidRPr="000009C1" w:rsidRDefault="003D0EC9" w:rsidP="003D0EC9">
            <w:pPr>
              <w:pStyle w:val="INCISO"/>
              <w:spacing w:line="276" w:lineRule="auto"/>
              <w:ind w:left="284"/>
              <w:rPr>
                <w:rFonts w:ascii="Avenir Next Ultra Light" w:hAnsi="Avenir Next Ultra Light"/>
                <w:b/>
                <w:sz w:val="20"/>
                <w:szCs w:val="20"/>
              </w:rPr>
            </w:pPr>
          </w:p>
        </w:tc>
      </w:tr>
    </w:tbl>
    <w:p w:rsidR="00853182" w:rsidRPr="000009C1" w:rsidRDefault="00853182" w:rsidP="00853182">
      <w:pPr>
        <w:jc w:val="center"/>
        <w:rPr>
          <w:rFonts w:ascii="Avenir Next Ultra Light" w:hAnsi="Avenir Next Ultra Light"/>
          <w:sz w:val="20"/>
          <w:szCs w:val="20"/>
        </w:rPr>
      </w:pPr>
    </w:p>
    <w:p w:rsidR="003D0EC9" w:rsidRPr="00371090" w:rsidRDefault="00371090" w:rsidP="003D0EC9">
      <w:pPr>
        <w:jc w:val="both"/>
        <w:rPr>
          <w:rFonts w:ascii="Public Sans" w:eastAsia="MS Mincho" w:hAnsi="Public Sans" w:cs="Arial"/>
          <w:sz w:val="20"/>
          <w:szCs w:val="20"/>
          <w:lang w:eastAsia="es-ES"/>
        </w:rPr>
      </w:pPr>
      <w:r w:rsidRPr="00371090">
        <w:rPr>
          <w:rFonts w:ascii="Public Sans" w:eastAsia="MS Mincho" w:hAnsi="Public Sans" w:cs="Arial"/>
          <w:sz w:val="20"/>
          <w:szCs w:val="20"/>
          <w:highlight w:val="yellow"/>
          <w:lang w:eastAsia="es-ES"/>
        </w:rPr>
        <w:t>Finalmente, el reporte de desempeño institucional que se elabore para presentar a los miembros del Comité, deberá integrase en una presentación o reporte ejecutivo, que contemple los aspectos más relevantes derivados del análisis comparativo anterior.</w:t>
      </w:r>
      <w:r w:rsidRPr="00371090">
        <w:rPr>
          <w:rFonts w:ascii="Public Sans" w:eastAsia="MS Mincho" w:hAnsi="Public Sans" w:cs="Arial"/>
          <w:sz w:val="20"/>
          <w:szCs w:val="20"/>
          <w:lang w:eastAsia="es-ES"/>
        </w:rPr>
        <w:t xml:space="preserve"> </w:t>
      </w:r>
    </w:p>
    <w:p w:rsidR="00853182" w:rsidRPr="000009C1" w:rsidRDefault="00853182" w:rsidP="00853182">
      <w:pPr>
        <w:jc w:val="center"/>
        <w:rPr>
          <w:rFonts w:ascii="Avenir Next Ultra Light" w:hAnsi="Avenir Next Ultra Light"/>
          <w:sz w:val="20"/>
          <w:szCs w:val="20"/>
        </w:rPr>
      </w:pPr>
    </w:p>
    <w:sectPr w:rsidR="00853182" w:rsidRPr="000009C1" w:rsidSect="00607268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B4" w:rsidRDefault="00164EB4" w:rsidP="00D46B4B">
      <w:pPr>
        <w:spacing w:after="0" w:line="240" w:lineRule="auto"/>
      </w:pPr>
      <w:r>
        <w:separator/>
      </w:r>
    </w:p>
  </w:endnote>
  <w:endnote w:type="continuationSeparator" w:id="0">
    <w:p w:rsidR="00164EB4" w:rsidRDefault="00164EB4" w:rsidP="00D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B4" w:rsidRDefault="00164EB4" w:rsidP="00D46B4B">
      <w:pPr>
        <w:spacing w:after="0" w:line="240" w:lineRule="auto"/>
      </w:pPr>
      <w:r>
        <w:separator/>
      </w:r>
    </w:p>
  </w:footnote>
  <w:footnote w:type="continuationSeparator" w:id="0">
    <w:p w:rsidR="00164EB4" w:rsidRDefault="00164EB4" w:rsidP="00D4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403"/>
    <w:multiLevelType w:val="hybridMultilevel"/>
    <w:tmpl w:val="EBB89F12"/>
    <w:lvl w:ilvl="0" w:tplc="6124F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4244E"/>
    <w:multiLevelType w:val="hybridMultilevel"/>
    <w:tmpl w:val="1D90A4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44D5"/>
    <w:multiLevelType w:val="hybridMultilevel"/>
    <w:tmpl w:val="2FD0BF60"/>
    <w:lvl w:ilvl="0" w:tplc="710C721E">
      <w:start w:val="1"/>
      <w:numFmt w:val="upperRoman"/>
      <w:lvlText w:val="%1."/>
      <w:lvlJc w:val="left"/>
      <w:pPr>
        <w:ind w:left="1080" w:hanging="720"/>
      </w:pPr>
      <w:rPr>
        <w:rFonts w:ascii="Gotham Book" w:hAnsi="Gotham Book" w:hint="default"/>
        <w:b/>
        <w:sz w:val="20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6F38"/>
    <w:multiLevelType w:val="hybridMultilevel"/>
    <w:tmpl w:val="225ED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53A4"/>
    <w:multiLevelType w:val="hybridMultilevel"/>
    <w:tmpl w:val="E248AA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2"/>
    <w:rsid w:val="000009C1"/>
    <w:rsid w:val="00064190"/>
    <w:rsid w:val="0011390F"/>
    <w:rsid w:val="00164EB4"/>
    <w:rsid w:val="00165378"/>
    <w:rsid w:val="001F608A"/>
    <w:rsid w:val="002B0DB1"/>
    <w:rsid w:val="00366864"/>
    <w:rsid w:val="00371090"/>
    <w:rsid w:val="00395C53"/>
    <w:rsid w:val="003D0EC9"/>
    <w:rsid w:val="00444999"/>
    <w:rsid w:val="00444E52"/>
    <w:rsid w:val="00510005"/>
    <w:rsid w:val="005531E8"/>
    <w:rsid w:val="00607268"/>
    <w:rsid w:val="00711BFA"/>
    <w:rsid w:val="00737AE9"/>
    <w:rsid w:val="00741694"/>
    <w:rsid w:val="00744FC4"/>
    <w:rsid w:val="00793841"/>
    <w:rsid w:val="008052BD"/>
    <w:rsid w:val="00853182"/>
    <w:rsid w:val="00975BEB"/>
    <w:rsid w:val="00987A84"/>
    <w:rsid w:val="009D3D49"/>
    <w:rsid w:val="009F442E"/>
    <w:rsid w:val="00A0391A"/>
    <w:rsid w:val="00A03F1A"/>
    <w:rsid w:val="00A413BA"/>
    <w:rsid w:val="00A646A6"/>
    <w:rsid w:val="00AA5992"/>
    <w:rsid w:val="00B42FB4"/>
    <w:rsid w:val="00BE7034"/>
    <w:rsid w:val="00BF59E9"/>
    <w:rsid w:val="00C8017F"/>
    <w:rsid w:val="00CE2AA2"/>
    <w:rsid w:val="00D31D26"/>
    <w:rsid w:val="00D46B4B"/>
    <w:rsid w:val="00DB291C"/>
    <w:rsid w:val="00DC0F74"/>
    <w:rsid w:val="00E10F75"/>
    <w:rsid w:val="00E65BC6"/>
    <w:rsid w:val="00F226C6"/>
    <w:rsid w:val="00FB5118"/>
    <w:rsid w:val="00FE632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51B31-2E63-4F1D-BD45-C8B28C7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AE9"/>
    <w:pPr>
      <w:ind w:left="720"/>
      <w:contextualSpacing/>
    </w:pPr>
  </w:style>
  <w:style w:type="paragraph" w:customStyle="1" w:styleId="INCISO">
    <w:name w:val="INCISO"/>
    <w:basedOn w:val="Normal"/>
    <w:rsid w:val="00737AE9"/>
    <w:pPr>
      <w:spacing w:after="101" w:line="216" w:lineRule="exact"/>
      <w:ind w:left="1080" w:hanging="360"/>
      <w:jc w:val="both"/>
    </w:pPr>
    <w:rPr>
      <w:rFonts w:ascii="Arial" w:eastAsia="MS Mincho" w:hAnsi="Arial" w:cs="Arial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B4B"/>
  </w:style>
  <w:style w:type="paragraph" w:styleId="Piedepgina">
    <w:name w:val="footer"/>
    <w:basedOn w:val="Normal"/>
    <w:link w:val="PiedepginaCar"/>
    <w:uiPriority w:val="99"/>
    <w:unhideWhenUsed/>
    <w:rsid w:val="00D46B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4B"/>
  </w:style>
  <w:style w:type="paragraph" w:customStyle="1" w:styleId="Texto">
    <w:name w:val="Texto"/>
    <w:basedOn w:val="Normal"/>
    <w:link w:val="TextoCar"/>
    <w:rsid w:val="002B0DB1"/>
    <w:pPr>
      <w:spacing w:after="101" w:line="216" w:lineRule="exact"/>
      <w:ind w:firstLine="288"/>
      <w:jc w:val="both"/>
    </w:pPr>
    <w:rPr>
      <w:rFonts w:ascii="Arial" w:eastAsia="MS Mincho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0DB1"/>
    <w:rPr>
      <w:rFonts w:ascii="Arial" w:eastAsia="MS Mincho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Ramírez</dc:creator>
  <cp:keywords/>
  <dc:description/>
  <cp:lastModifiedBy>David Ramírez</cp:lastModifiedBy>
  <cp:revision>9</cp:revision>
  <dcterms:created xsi:type="dcterms:W3CDTF">2021-11-25T21:11:00Z</dcterms:created>
  <dcterms:modified xsi:type="dcterms:W3CDTF">2021-12-06T19:50:00Z</dcterms:modified>
</cp:coreProperties>
</file>